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7D509">
      <w:pPr>
        <w:spacing w:after="60"/>
        <w:jc w:val="center"/>
      </w:pPr>
      <w:r>
        <w:rPr>
          <w:rFonts w:ascii="微软雅黑" w:hAnsi="微软雅黑" w:eastAsia="微软雅黑"/>
          <w:b/>
          <w:color w:val="000000"/>
          <w:sz w:val="44"/>
        </w:rPr>
        <w:t>湖北起点产业园招商手册</w:t>
      </w:r>
    </w:p>
    <w:p w14:paraId="72E5599C">
      <w:pPr>
        <w:spacing w:after="280"/>
        <w:jc w:val="center"/>
      </w:pPr>
      <w:r>
        <w:rPr>
          <w:rFonts w:ascii="微软雅黑" w:hAnsi="微软雅黑" w:eastAsia="微软雅黑"/>
          <w:color w:val="666666"/>
          <w:sz w:val="20"/>
        </w:rPr>
        <w:t>服装电商 · 智能制造 · 供应链协同示范园区</w:t>
      </w:r>
    </w:p>
    <w:p w14:paraId="50429592">
      <w:pPr>
        <w:spacing w:before="80" w:after="200"/>
        <w:ind w:left="113" w:right="113"/>
      </w:pPr>
      <w:r>
        <w:rPr>
          <w:rFonts w:ascii="微软雅黑" w:hAnsi="微软雅黑" w:eastAsia="微软雅黑"/>
          <w:color w:val="666666"/>
          <w:sz w:val="19"/>
        </w:rPr>
        <w:t>本手册为官网下载版招商资料模板，涉及园区规模、企业名单、联系方式和政策条款的内容，正式发布前应以园区确认口径为准。</w:t>
      </w:r>
    </w:p>
    <w:p w14:paraId="6A25239D">
      <w:pPr>
        <w:pStyle w:val="3"/>
      </w:pPr>
      <w:r>
        <w:t>一、园区定位</w:t>
      </w:r>
    </w:p>
    <w:p w14:paraId="56634D2E">
      <w:r>
        <w:t>湖北起点产业园立足天门服装电商产业基础，面向服装生产制造、电商运营、供应链配套、仓储物流和数字化服务企业，打造集企业集聚、产业服务、质量追溯、仓配协同于一体的服装电商全产业链生态园。</w:t>
      </w:r>
    </w:p>
    <w:p w14:paraId="7EFA9733">
      <w:pPr>
        <w:pStyle w:val="3"/>
      </w:pPr>
      <w:r>
        <w:t>二、核心服务</w:t>
      </w:r>
    </w:p>
    <w:tbl>
      <w:tblPr>
        <w:tblStyle w:val="33"/>
        <w:tblW w:w="0" w:type="auto"/>
        <w:jc w:val="center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single" w:color="CFCFCF" w:sz="6" w:space="0"/>
          <w:insideV w:val="single" w:color="CFCFC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0"/>
        <w:gridCol w:w="3360"/>
        <w:gridCol w:w="3360"/>
      </w:tblGrid>
      <w:tr w14:paraId="407BF57E">
        <w:trPr>
          <w:jc w:val="center"/>
        </w:trPr>
        <w:tc>
          <w:tcPr>
            <w:tcW w:w="1701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00E1DE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服务模块</w:t>
            </w:r>
          </w:p>
        </w:tc>
        <w:tc>
          <w:tcPr>
            <w:tcW w:w="4762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467255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服务内容</w:t>
            </w:r>
          </w:p>
        </w:tc>
        <w:tc>
          <w:tcPr>
            <w:tcW w:w="3742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8D23EE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适配企业</w:t>
            </w:r>
          </w:p>
        </w:tc>
      </w:tr>
      <w:tr w14:paraId="4F6A670E">
        <w:trPr>
          <w:jc w:val="center"/>
        </w:trPr>
        <w:tc>
          <w:tcPr>
            <w:tcW w:w="3360" w:type="dxa"/>
            <w:vAlign w:val="center"/>
          </w:tcPr>
          <w:p w14:paraId="6A4036CB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智能制造</w:t>
            </w:r>
          </w:p>
        </w:tc>
        <w:tc>
          <w:tcPr>
            <w:tcW w:w="3360" w:type="dxa"/>
            <w:vAlign w:val="center"/>
          </w:tcPr>
          <w:p w14:paraId="76C2822F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生产空间、生产协同、订单承接、质量过程管理</w:t>
            </w:r>
          </w:p>
        </w:tc>
        <w:tc>
          <w:tcPr>
            <w:tcW w:w="3360" w:type="dxa"/>
            <w:vAlign w:val="center"/>
          </w:tcPr>
          <w:p w14:paraId="4CC40E67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服装生产、代工、版型与工艺服务企业</w:t>
            </w:r>
          </w:p>
        </w:tc>
      </w:tr>
      <w:tr w14:paraId="1E46C1E6">
        <w:trPr>
          <w:jc w:val="center"/>
        </w:trPr>
        <w:tc>
          <w:tcPr>
            <w:tcW w:w="3360" w:type="dxa"/>
            <w:vAlign w:val="center"/>
          </w:tcPr>
          <w:p w14:paraId="5F2C04BD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电商运营</w:t>
            </w:r>
          </w:p>
        </w:tc>
        <w:tc>
          <w:tcPr>
            <w:tcW w:w="3360" w:type="dxa"/>
            <w:vAlign w:val="center"/>
          </w:tcPr>
          <w:p w14:paraId="01ACD7F6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店铺运营、直播/内容电商、平台资源、品牌孵化支持</w:t>
            </w:r>
          </w:p>
        </w:tc>
        <w:tc>
          <w:tcPr>
            <w:tcW w:w="3360" w:type="dxa"/>
            <w:vAlign w:val="center"/>
          </w:tcPr>
          <w:p w14:paraId="04FD0AFD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电商团队、品牌方、MCN、运营服务商</w:t>
            </w:r>
          </w:p>
        </w:tc>
      </w:tr>
      <w:tr w14:paraId="5AA1273E">
        <w:trPr>
          <w:jc w:val="center"/>
        </w:trPr>
        <w:tc>
          <w:tcPr>
            <w:tcW w:w="3360" w:type="dxa"/>
            <w:vAlign w:val="center"/>
          </w:tcPr>
          <w:p w14:paraId="670EB51F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供应链协同</w:t>
            </w:r>
          </w:p>
        </w:tc>
        <w:tc>
          <w:tcPr>
            <w:tcW w:w="3360" w:type="dxa"/>
            <w:vAlign w:val="center"/>
          </w:tcPr>
          <w:p w14:paraId="0DED2F40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面辅料、生产、仓配、售后、跨境和国内渠道资源协同</w:t>
            </w:r>
          </w:p>
        </w:tc>
        <w:tc>
          <w:tcPr>
            <w:tcW w:w="3360" w:type="dxa"/>
            <w:vAlign w:val="center"/>
          </w:tcPr>
          <w:p w14:paraId="77486443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供应链公司、贸易公司、品牌运营公司</w:t>
            </w:r>
          </w:p>
        </w:tc>
      </w:tr>
      <w:tr w14:paraId="1CB4E7A7">
        <w:trPr>
          <w:jc w:val="center"/>
        </w:trPr>
        <w:tc>
          <w:tcPr>
            <w:tcW w:w="3360" w:type="dxa"/>
            <w:vAlign w:val="center"/>
          </w:tcPr>
          <w:p w14:paraId="792874F9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仓储物流</w:t>
            </w:r>
          </w:p>
        </w:tc>
        <w:tc>
          <w:tcPr>
            <w:tcW w:w="3360" w:type="dxa"/>
            <w:vAlign w:val="center"/>
          </w:tcPr>
          <w:p w14:paraId="51C866F9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仓储、分拣、发货、退换货、库存协同和物流对接</w:t>
            </w:r>
          </w:p>
        </w:tc>
        <w:tc>
          <w:tcPr>
            <w:tcW w:w="3360" w:type="dxa"/>
            <w:vAlign w:val="center"/>
          </w:tcPr>
          <w:p w14:paraId="2447CAB5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仓配服务商、电商企业、平台卖家</w:t>
            </w:r>
          </w:p>
        </w:tc>
      </w:tr>
      <w:tr w14:paraId="08B97A9F">
        <w:trPr>
          <w:jc w:val="center"/>
        </w:trPr>
        <w:tc>
          <w:tcPr>
            <w:tcW w:w="3360" w:type="dxa"/>
            <w:vAlign w:val="center"/>
          </w:tcPr>
          <w:p w14:paraId="3F1A9663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质量追溯</w:t>
            </w:r>
          </w:p>
        </w:tc>
        <w:tc>
          <w:tcPr>
            <w:tcW w:w="3360" w:type="dxa"/>
            <w:vAlign w:val="center"/>
          </w:tcPr>
          <w:p w14:paraId="2A90F810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产品档案、批次编码、质检资料、溯源码和召回处置</w:t>
            </w:r>
          </w:p>
        </w:tc>
        <w:tc>
          <w:tcPr>
            <w:tcW w:w="3360" w:type="dxa"/>
            <w:vAlign w:val="center"/>
          </w:tcPr>
          <w:p w14:paraId="40806566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生产企业、电商企业、品牌方</w:t>
            </w:r>
          </w:p>
        </w:tc>
      </w:tr>
    </w:tbl>
    <w:p w14:paraId="5278782A">
      <w:pPr>
        <w:pStyle w:val="3"/>
      </w:pPr>
      <w:r>
        <w:t>三、适合入驻对象</w:t>
      </w:r>
    </w:p>
    <w:p w14:paraId="2D8E4A1A">
      <w:pPr>
        <w:pStyle w:val="16"/>
        <w:spacing w:after="60"/>
      </w:pPr>
      <w:r>
        <w:t>服装生产制造、成衣加工、版型设计、面辅料供应等产业链企业。</w:t>
      </w:r>
    </w:p>
    <w:p w14:paraId="140826E9">
      <w:pPr>
        <w:pStyle w:val="16"/>
        <w:spacing w:after="60"/>
      </w:pPr>
      <w:r>
        <w:t>国内电商、跨境电商、直播电商、品牌运营、店铺代运营企业。</w:t>
      </w:r>
    </w:p>
    <w:p w14:paraId="2B191FB0">
      <w:pPr>
        <w:pStyle w:val="16"/>
        <w:spacing w:after="60"/>
      </w:pPr>
      <w:r>
        <w:t>仓储物流、供应链管理、质检检测、售后服务等配套服务企业。</w:t>
      </w:r>
    </w:p>
    <w:p w14:paraId="53330843">
      <w:pPr>
        <w:pStyle w:val="16"/>
        <w:spacing w:after="60"/>
      </w:pPr>
      <w:r>
        <w:t>数字化系统、产品追溯、内容营销、AI 工具等产业服务机构。</w:t>
      </w:r>
    </w:p>
    <w:p w14:paraId="388A5B33">
      <w:pPr>
        <w:pStyle w:val="3"/>
      </w:pPr>
      <w:r>
        <w:t>四、入驻流程</w:t>
      </w:r>
    </w:p>
    <w:tbl>
      <w:tblPr>
        <w:tblStyle w:val="33"/>
        <w:tblW w:w="0" w:type="auto"/>
        <w:jc w:val="center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single" w:color="CFCFCF" w:sz="6" w:space="0"/>
          <w:insideV w:val="single" w:color="CFCFC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520"/>
        <w:gridCol w:w="2520"/>
        <w:gridCol w:w="2520"/>
      </w:tblGrid>
      <w:tr w14:paraId="0153D1BB">
        <w:trPr>
          <w:jc w:val="center"/>
        </w:trPr>
        <w:tc>
          <w:tcPr>
            <w:tcW w:w="680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922685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步骤</w:t>
            </w:r>
          </w:p>
        </w:tc>
        <w:tc>
          <w:tcPr>
            <w:tcW w:w="1701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D49CF4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环节</w:t>
            </w:r>
          </w:p>
        </w:tc>
        <w:tc>
          <w:tcPr>
            <w:tcW w:w="4082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34C4BF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主要内容</w:t>
            </w:r>
          </w:p>
        </w:tc>
        <w:tc>
          <w:tcPr>
            <w:tcW w:w="3742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65CFD6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企业准备</w:t>
            </w:r>
          </w:p>
        </w:tc>
      </w:tr>
      <w:tr w14:paraId="0FF8D493">
        <w:trPr>
          <w:jc w:val="center"/>
        </w:trPr>
        <w:tc>
          <w:tcPr>
            <w:tcW w:w="2520" w:type="dxa"/>
            <w:vAlign w:val="center"/>
          </w:tcPr>
          <w:p w14:paraId="3A94D26D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1</w:t>
            </w:r>
          </w:p>
        </w:tc>
        <w:tc>
          <w:tcPr>
            <w:tcW w:w="2520" w:type="dxa"/>
            <w:vAlign w:val="center"/>
          </w:tcPr>
          <w:p w14:paraId="2B553ED6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提交申请</w:t>
            </w:r>
          </w:p>
        </w:tc>
        <w:tc>
          <w:tcPr>
            <w:tcW w:w="2520" w:type="dxa"/>
            <w:vAlign w:val="center"/>
          </w:tcPr>
          <w:p w14:paraId="66C4AA09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填写入驻申请表并提交企业基础资料</w:t>
            </w:r>
          </w:p>
        </w:tc>
        <w:tc>
          <w:tcPr>
            <w:tcW w:w="2520" w:type="dxa"/>
            <w:vAlign w:val="center"/>
          </w:tcPr>
          <w:p w14:paraId="1C24B6AA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申请表、营业执照、业务说明</w:t>
            </w:r>
          </w:p>
        </w:tc>
      </w:tr>
      <w:tr w14:paraId="18B8D6CA">
        <w:trPr>
          <w:jc w:val="center"/>
        </w:trPr>
        <w:tc>
          <w:tcPr>
            <w:tcW w:w="2520" w:type="dxa"/>
            <w:vAlign w:val="center"/>
          </w:tcPr>
          <w:p w14:paraId="6FB7C79F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2</w:t>
            </w:r>
          </w:p>
        </w:tc>
        <w:tc>
          <w:tcPr>
            <w:tcW w:w="2520" w:type="dxa"/>
            <w:vAlign w:val="center"/>
          </w:tcPr>
          <w:p w14:paraId="318A5880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资料初审</w:t>
            </w:r>
          </w:p>
        </w:tc>
        <w:tc>
          <w:tcPr>
            <w:tcW w:w="2520" w:type="dxa"/>
            <w:vAlign w:val="center"/>
          </w:tcPr>
          <w:p w14:paraId="04B9A4DD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园区核查主体资质、经营范围和资料完整性</w:t>
            </w:r>
          </w:p>
        </w:tc>
        <w:tc>
          <w:tcPr>
            <w:tcW w:w="2520" w:type="dxa"/>
            <w:vAlign w:val="center"/>
          </w:tcPr>
          <w:p w14:paraId="0EA5228B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按清单补齐材料</w:t>
            </w:r>
          </w:p>
        </w:tc>
      </w:tr>
      <w:tr w14:paraId="4A60D988">
        <w:trPr>
          <w:jc w:val="center"/>
        </w:trPr>
        <w:tc>
          <w:tcPr>
            <w:tcW w:w="2520" w:type="dxa"/>
            <w:vAlign w:val="center"/>
          </w:tcPr>
          <w:p w14:paraId="3FE69EAB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3</w:t>
            </w:r>
          </w:p>
        </w:tc>
        <w:tc>
          <w:tcPr>
            <w:tcW w:w="2520" w:type="dxa"/>
            <w:vAlign w:val="center"/>
          </w:tcPr>
          <w:p w14:paraId="6EA7B7C2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现场核查</w:t>
            </w:r>
          </w:p>
        </w:tc>
        <w:tc>
          <w:tcPr>
            <w:tcW w:w="2520" w:type="dxa"/>
            <w:vAlign w:val="center"/>
          </w:tcPr>
          <w:p w14:paraId="0A2D7C92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核验经营条件、质量能力、安全环保和入驻需求</w:t>
            </w:r>
          </w:p>
        </w:tc>
        <w:tc>
          <w:tcPr>
            <w:tcW w:w="2520" w:type="dxa"/>
            <w:vAlign w:val="center"/>
          </w:tcPr>
          <w:p w14:paraId="33D53BB9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配合现场沟通</w:t>
            </w:r>
          </w:p>
        </w:tc>
      </w:tr>
      <w:tr w14:paraId="1E85E25F">
        <w:trPr>
          <w:jc w:val="center"/>
        </w:trPr>
        <w:tc>
          <w:tcPr>
            <w:tcW w:w="2520" w:type="dxa"/>
            <w:vAlign w:val="center"/>
          </w:tcPr>
          <w:p w14:paraId="081EE13D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4</w:t>
            </w:r>
          </w:p>
        </w:tc>
        <w:tc>
          <w:tcPr>
            <w:tcW w:w="2520" w:type="dxa"/>
            <w:vAlign w:val="center"/>
          </w:tcPr>
          <w:p w14:paraId="019CC0FA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评审审批</w:t>
            </w:r>
          </w:p>
        </w:tc>
        <w:tc>
          <w:tcPr>
            <w:tcW w:w="2520" w:type="dxa"/>
            <w:vAlign w:val="center"/>
          </w:tcPr>
          <w:p w14:paraId="00A419C5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综合评估产业适配度、质量风险和服务需求</w:t>
            </w:r>
          </w:p>
        </w:tc>
        <w:tc>
          <w:tcPr>
            <w:tcW w:w="2520" w:type="dxa"/>
            <w:vAlign w:val="center"/>
          </w:tcPr>
          <w:p w14:paraId="689E69D6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确认入驻方案</w:t>
            </w:r>
          </w:p>
        </w:tc>
      </w:tr>
      <w:tr w14:paraId="5174A403">
        <w:trPr>
          <w:jc w:val="center"/>
        </w:trPr>
        <w:tc>
          <w:tcPr>
            <w:tcW w:w="2520" w:type="dxa"/>
            <w:vAlign w:val="center"/>
          </w:tcPr>
          <w:p w14:paraId="7239C384">
            <w:pPr>
              <w:spacing w:after="0"/>
              <w:jc w:val="center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5</w:t>
            </w:r>
          </w:p>
        </w:tc>
        <w:tc>
          <w:tcPr>
            <w:tcW w:w="2520" w:type="dxa"/>
            <w:vAlign w:val="center"/>
          </w:tcPr>
          <w:p w14:paraId="13E79CB7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签约备案</w:t>
            </w:r>
          </w:p>
        </w:tc>
        <w:tc>
          <w:tcPr>
            <w:tcW w:w="2520" w:type="dxa"/>
            <w:vAlign w:val="center"/>
          </w:tcPr>
          <w:p w14:paraId="55FC0930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签署协议和质量合规承诺书，纳入园区台账</w:t>
            </w:r>
          </w:p>
        </w:tc>
        <w:tc>
          <w:tcPr>
            <w:tcW w:w="2520" w:type="dxa"/>
            <w:vAlign w:val="center"/>
          </w:tcPr>
          <w:p w14:paraId="1FFD3352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签章备案资料</w:t>
            </w:r>
          </w:p>
        </w:tc>
      </w:tr>
    </w:tbl>
    <w:p w14:paraId="3DCE6748">
      <w:pPr>
        <w:pStyle w:val="3"/>
      </w:pPr>
      <w:r>
        <w:t>五、联系方式</w:t>
      </w:r>
    </w:p>
    <w:tbl>
      <w:tblPr>
        <w:tblStyle w:val="33"/>
        <w:tblW w:w="0" w:type="auto"/>
        <w:jc w:val="center"/>
        <w:tblBorders>
          <w:top w:val="single" w:color="CFCFCF" w:sz="6" w:space="0"/>
          <w:left w:val="single" w:color="CFCFCF" w:sz="6" w:space="0"/>
          <w:bottom w:val="single" w:color="CFCFCF" w:sz="6" w:space="0"/>
          <w:right w:val="single" w:color="CFCFCF" w:sz="6" w:space="0"/>
          <w:insideH w:val="single" w:color="CFCFCF" w:sz="6" w:space="0"/>
          <w:insideV w:val="single" w:color="CFCFC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2520"/>
        <w:gridCol w:w="2520"/>
        <w:gridCol w:w="2520"/>
      </w:tblGrid>
      <w:tr w14:paraId="1FB117BA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B99FD9D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园区名称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C46BEE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湖北起点产业园</w:t>
            </w: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2B432BD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地址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015140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湖北省天门经济开发区接官路155号</w:t>
            </w:r>
          </w:p>
        </w:tc>
      </w:tr>
      <w:tr w14:paraId="69F713D3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024737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招商咨询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E839B4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0728-1234567</w:t>
            </w: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5DBB1C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服务时间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DDDEA1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工作日 09:00-18:00</w:t>
            </w:r>
          </w:p>
        </w:tc>
      </w:tr>
      <w:tr w14:paraId="1696B4C7">
        <w:trPr>
          <w:jc w:val="center"/>
        </w:trPr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593E75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官网栏目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D5E33F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招商入驻 / 资料下载 / 联系我们</w:t>
            </w:r>
          </w:p>
        </w:tc>
        <w:tc>
          <w:tcPr>
            <w:tcW w:w="1814" w:type="dxa"/>
            <w:shd w:val="clear" w:color="auto" w:fill="EFEFE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C91A1D">
            <w:pPr>
              <w:spacing w:after="0"/>
            </w:pPr>
            <w:r>
              <w:rPr>
                <w:rFonts w:ascii="微软雅黑" w:hAnsi="微软雅黑" w:eastAsia="微软雅黑"/>
                <w:b/>
                <w:color w:val="000000"/>
                <w:sz w:val="21"/>
              </w:rPr>
              <w:t>资料提交</w:t>
            </w:r>
          </w:p>
        </w:tc>
        <w:tc>
          <w:tcPr>
            <w:tcW w:w="340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59C865">
            <w:pPr>
              <w:spacing w:after="0"/>
            </w:pPr>
            <w:r>
              <w:rPr>
                <w:rFonts w:ascii="微软雅黑" w:hAnsi="微软雅黑" w:eastAsia="微软雅黑"/>
                <w:b w:val="0"/>
                <w:color w:val="222222"/>
                <w:sz w:val="21"/>
              </w:rPr>
              <w:t>以园区正式通知为准</w:t>
            </w:r>
          </w:p>
        </w:tc>
      </w:tr>
    </w:tbl>
    <w:p w14:paraId="496BE9C8">
      <w:bookmarkStart w:id="0" w:name="_GoBack"/>
      <w:bookmarkEnd w:id="0"/>
    </w:p>
    <w:sectPr>
      <w:headerReference r:id="rId5" w:type="default"/>
      <w:footerReference r:id="rId6" w:type="default"/>
      <w:pgSz w:w="12240" w:h="15840"/>
      <w:pgMar w:top="1368" w:right="1080" w:bottom="1368" w:left="1080" w:header="504" w:footer="50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14D3D">
    <w:pPr>
      <w:pStyle w:val="24"/>
      <w:spacing w:before="80" w:after="0"/>
      <w:jc w:val="center"/>
    </w:pPr>
    <w:r>
      <w:drawing>
        <wp:inline distT="0" distB="0" distL="114300" distR="114300">
          <wp:extent cx="1051560" cy="225425"/>
          <wp:effectExtent l="0" t="0" r="15240" b="317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1560" cy="225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9CBF1">
    <w:pPr>
      <w:pStyle w:val="25"/>
      <w:spacing w:after="0"/>
      <w:jc w:val="both"/>
    </w:pPr>
    <w:r>
      <w:drawing>
        <wp:inline distT="0" distB="0" distL="114300" distR="114300">
          <wp:extent cx="1080135" cy="231775"/>
          <wp:effectExtent l="0" t="0" r="12065" b="222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31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FFFDD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ascii="微软雅黑" w:hAnsi="微软雅黑" w:eastAsia="微软雅黑" w:cstheme="minorBidi"/>
      <w:color w:val="222222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280" w:after="160"/>
      <w:outlineLvl w:val="0"/>
    </w:pPr>
    <w:rPr>
      <w:rFonts w:asciiTheme="majorHAnsi" w:hAnsiTheme="majorHAnsi" w:eastAsiaTheme="majorEastAsia" w:cstheme="majorBidi"/>
      <w:b/>
      <w:bCs/>
      <w:color w:val="000000"/>
      <w:sz w:val="32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b/>
      <w:bCs/>
      <w:color w:val="344054"/>
      <w:sz w:val="23"/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Rui</cp:lastModifiedBy>
  <dcterms:modified xsi:type="dcterms:W3CDTF">2026-06-28T23:33:24Z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837E0DBA2E314DB5C43E416A82E36C99_42</vt:lpwstr>
  </property>
</Properties>
</file>